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9B" w:rsidRPr="004A7D9B" w:rsidRDefault="004A7D9B" w:rsidP="004A7D9B">
      <w:pPr>
        <w:spacing w:after="30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</w:pPr>
      <w:r w:rsidRPr="004A7D9B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>Приказ Минздрава России от 21.03.2014 N 125н</w:t>
      </w:r>
      <w:r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 xml:space="preserve">                        </w:t>
      </w:r>
      <w:r w:rsidRPr="004A7D9B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 xml:space="preserve"> (ред. от 13.04.2017) </w:t>
      </w:r>
      <w:bookmarkStart w:id="0" w:name="_GoBack"/>
      <w:r w:rsidRPr="004A7D9B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 xml:space="preserve">Об утверждении национального календаря профилактических прививок </w:t>
      </w:r>
      <w:bookmarkEnd w:id="0"/>
      <w:r w:rsidRPr="004A7D9B">
        <w:rPr>
          <w:rFonts w:ascii="Arial" w:eastAsia="Times New Roman" w:hAnsi="Arial" w:cs="Arial"/>
          <w:b/>
          <w:bCs/>
          <w:color w:val="005EA5"/>
          <w:kern w:val="36"/>
          <w:sz w:val="32"/>
          <w:szCs w:val="32"/>
          <w:lang w:eastAsia="ru-RU"/>
        </w:rPr>
        <w:t>и календаря профилактических прививок по эпидемическим показаниям</w:t>
      </w:r>
    </w:p>
    <w:p w:rsidR="004A7D9B" w:rsidRDefault="004A7D9B" w:rsidP="004A7D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A7D9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сентября 2017 г. 23:56</w:t>
      </w:r>
    </w:p>
    <w:p w:rsidR="004A7D9B" w:rsidRPr="004A7D9B" w:rsidRDefault="004A7D9B" w:rsidP="004A7D9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A7D9B" w:rsidRPr="004A7D9B" w:rsidRDefault="004A7D9B" w:rsidP="004A7D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ЗДРАВООХРАНЕНИЯ РОССИЙСКОЙ ФЕДЕРАЦИИ</w:t>
      </w:r>
    </w:p>
    <w:p w:rsidR="004A7D9B" w:rsidRPr="004A7D9B" w:rsidRDefault="004A7D9B" w:rsidP="004A7D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4A7D9B" w:rsidRPr="004A7D9B" w:rsidRDefault="004A7D9B" w:rsidP="004A7D9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21 марта 2014 г. N 125н</w:t>
      </w:r>
    </w:p>
    <w:p w:rsidR="004A7D9B" w:rsidRPr="004A7D9B" w:rsidRDefault="004A7D9B" w:rsidP="004A7D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НАЦИОНАЛЬНОГО КАЛЕНДАРЯ</w:t>
      </w:r>
    </w:p>
    <w:p w:rsidR="004A7D9B" w:rsidRPr="004A7D9B" w:rsidRDefault="004A7D9B" w:rsidP="004A7D9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ПРОФИЛАКТИЧЕСКИХ ПРИВИВОК И КАЛЕНДАРЯ ПРОФИЛАКТИЧЕСКИХ</w:t>
      </w:r>
    </w:p>
    <w:p w:rsidR="004A7D9B" w:rsidRPr="004A7D9B" w:rsidRDefault="004A7D9B" w:rsidP="004A7D9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ПРИВИВОК ПО ЭПИДЕМИЧЕСКИМ ПОКАЗАНИЯМ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proofErr w:type="gram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со </w:t>
      </w:r>
      <w:hyperlink r:id="rId5" w:anchor="100159" w:history="1">
        <w:r w:rsidRPr="004A7D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статьями 9</w:t>
        </w:r>
      </w:hyperlink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6" w:anchor="100161" w:history="1">
        <w:r w:rsidRPr="004A7D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10</w:t>
        </w:r>
      </w:hyperlink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17 сентября 1998 г. N 157-ФЗ "Об иммунопрофилактике инфекционных болезней" (Собрание законодательства Российской Федерации, 1998, N 38, ст. 4736; 2000, N 33, ст. 3348; 2003, N 2, ст. 167; 2004, N 35, ст. 3607; 2005, N 1, ст. 25; 2006, N 27, ст. 2879;</w:t>
      </w:r>
      <w:proofErr w:type="gram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2007, N 43, ст. 5084; N 49, ст. 6070; 2008, N 30, ст. 3616; N 52, ст. 6236; 2009, N 1, ст. 21; N 30, ст. 3739; 2010, N 50, ст. 6599; 2011, N 30, ст. 4590; 2012, N 53, ст. 7589; 2013, N 19, ст. 2331; N 27, ст. 3477;</w:t>
      </w:r>
      <w:proofErr w:type="gram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 48, ст. 6165; N 51, ст. 6688) приказываю:</w:t>
      </w:r>
      <w:proofErr w:type="gramEnd"/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Утвердить: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национальный календарь профилактических прививок согласно </w:t>
      </w:r>
      <w:hyperlink r:id="rId7" w:anchor="100011" w:history="1">
        <w:r w:rsidRPr="004A7D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1</w:t>
        </w:r>
      </w:hyperlink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календарь профилактических прививок по эпидемическим показаниям согласно </w:t>
      </w:r>
      <w:hyperlink r:id="rId8" w:anchor="100097" w:history="1">
        <w:r w:rsidRPr="004A7D9B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2</w:t>
        </w:r>
      </w:hyperlink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4A7D9B" w:rsidRPr="004A7D9B" w:rsidRDefault="004A7D9B" w:rsidP="004A7D9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 w:rsidR="004A7D9B" w:rsidRPr="004A7D9B" w:rsidRDefault="004A7D9B" w:rsidP="004A7D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В.И.СКВОРЦОВА</w:t>
      </w:r>
    </w:p>
    <w:p w:rsidR="004A7D9B" w:rsidRPr="004A7D9B" w:rsidRDefault="004A7D9B" w:rsidP="004A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D9B" w:rsidRPr="004A7D9B" w:rsidRDefault="004A7D9B" w:rsidP="004A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D9B" w:rsidRPr="004A7D9B" w:rsidRDefault="004A7D9B" w:rsidP="004A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D9B" w:rsidRPr="004A7D9B" w:rsidRDefault="004A7D9B" w:rsidP="004A7D9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</w:t>
      </w:r>
    </w:p>
    <w:p w:rsidR="004A7D9B" w:rsidRPr="004A7D9B" w:rsidRDefault="004A7D9B" w:rsidP="004A7D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:rsidR="004A7D9B" w:rsidRPr="004A7D9B" w:rsidRDefault="004A7D9B" w:rsidP="004A7D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4A7D9B" w:rsidRPr="004A7D9B" w:rsidRDefault="004A7D9B" w:rsidP="004A7D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21 марта 2014 г. N 125н</w:t>
      </w:r>
    </w:p>
    <w:p w:rsidR="004A7D9B" w:rsidRPr="004A7D9B" w:rsidRDefault="004A7D9B" w:rsidP="004A7D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НАЦИОНАЛЬНЫЙ КАЛЕНДАРЬ ПРОФИЛАКТИЧЕСКИХ ПРИВИВОК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  <w:gridCol w:w="3297"/>
      </w:tblGrid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" w:name="100012"/>
            <w:bookmarkEnd w:id="11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Категории и возраст граждан, подлежащих обязательной вакцинации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" w:name="100013"/>
            <w:bookmarkEnd w:id="12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профилактической прививки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" w:name="100014"/>
            <w:bookmarkEnd w:id="13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Новорожденные </w:t>
            </w:r>
            <w:proofErr w:type="gram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24 часа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" w:name="100015"/>
            <w:bookmarkEnd w:id="14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 вакцинация против вирусного гепатита B </w:t>
            </w:r>
            <w:hyperlink r:id="rId9" w:anchor="100067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" w:name="100016"/>
            <w:bookmarkEnd w:id="15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Новорожденные на 3 - 7 день жизни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" w:name="100017"/>
            <w:bookmarkEnd w:id="16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Вакцинация против туберкулеза </w:t>
            </w:r>
            <w:hyperlink r:id="rId10" w:anchor="100068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&lt;2&gt;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" w:name="100018"/>
            <w:bookmarkEnd w:id="17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1 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" w:name="100019"/>
            <w:bookmarkEnd w:id="18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 вакцинация против вирусного гепатита B </w:t>
            </w:r>
            <w:hyperlink r:id="rId11" w:anchor="100067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" w:name="100020"/>
            <w:bookmarkEnd w:id="19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2 месяца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" w:name="100021"/>
            <w:bookmarkEnd w:id="20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Третья вакцинация против вирусного гепатита B (группы риска) </w:t>
            </w:r>
            <w:hyperlink r:id="rId12" w:anchor="100069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&lt;3&gt;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" w:name="100022"/>
            <w:bookmarkEnd w:id="21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 вакцинация против пневмококковой инфекции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" w:name="100023"/>
            <w:bookmarkStart w:id="23" w:name="000006"/>
            <w:bookmarkEnd w:id="22"/>
            <w:bookmarkEnd w:id="23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3 месяца </w:t>
            </w:r>
            <w:hyperlink r:id="rId13" w:anchor="000012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&lt;6.1&gt;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" w:name="100024"/>
            <w:bookmarkEnd w:id="24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 вакцинация против дифтерии, коклюша, столбняка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" w:name="100025"/>
            <w:bookmarkEnd w:id="25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 вакцинация против полиомиелита </w:t>
            </w:r>
            <w:hyperlink r:id="rId14" w:anchor="100070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&lt;4&gt;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" w:name="100026"/>
            <w:bookmarkEnd w:id="26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 вакцинация против гемофильной инфекции (группы риска) </w:t>
            </w:r>
            <w:hyperlink r:id="rId15" w:anchor="100071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&lt;5&gt;</w:t>
              </w:r>
            </w:hyperlink>
          </w:p>
        </w:tc>
      </w:tr>
      <w:tr w:rsidR="004A7D9B" w:rsidRPr="004A7D9B" w:rsidTr="004A7D9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" w:name="100027"/>
            <w:bookmarkStart w:id="28" w:name="000007"/>
            <w:bookmarkEnd w:id="27"/>
            <w:bookmarkEnd w:id="28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4,5 месяца </w:t>
            </w:r>
            <w:hyperlink r:id="rId16" w:anchor="000012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&lt;6.1&gt;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" w:name="100028"/>
            <w:bookmarkEnd w:id="29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 вакцинация против дифтерии, коклюша, столбняка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" w:name="100029"/>
            <w:bookmarkEnd w:id="30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 вакцинация против гемофильной инфекции (группы риска) </w:t>
            </w:r>
            <w:hyperlink r:id="rId17" w:anchor="100071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&lt;5&gt;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" w:name="100030"/>
            <w:bookmarkEnd w:id="31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 вакцинация против полиомиелита </w:t>
            </w:r>
            <w:hyperlink r:id="rId18" w:anchor="100070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&lt;4&gt;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" w:name="100031"/>
            <w:bookmarkEnd w:id="32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 вакцинация против пневмококковой инфекции</w:t>
            </w:r>
          </w:p>
        </w:tc>
      </w:tr>
      <w:tr w:rsidR="004A7D9B" w:rsidRPr="004A7D9B" w:rsidTr="004A7D9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" w:name="100032"/>
            <w:bookmarkStart w:id="34" w:name="000008"/>
            <w:bookmarkEnd w:id="33"/>
            <w:bookmarkEnd w:id="34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6 месяцев </w:t>
            </w:r>
            <w:hyperlink r:id="rId19" w:anchor="000012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&lt;6.1&gt;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" w:name="100033"/>
            <w:bookmarkEnd w:id="35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Третья вакцинация против дифтерии, коклюша, столбняка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" w:name="100034"/>
            <w:bookmarkEnd w:id="36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Третья вакцинация против вирусного гепатита B </w:t>
            </w:r>
            <w:hyperlink r:id="rId20" w:anchor="100067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" w:name="100035"/>
            <w:bookmarkEnd w:id="37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Третья вакцинация против полиомиелита </w:t>
            </w:r>
            <w:hyperlink r:id="rId21" w:anchor="100072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&lt;6&gt;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" w:name="100036"/>
            <w:bookmarkEnd w:id="38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Третья вакцинация против гемофильной инфекции (группа риска) </w:t>
            </w:r>
            <w:hyperlink r:id="rId22" w:anchor="100071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&lt;5&gt;</w:t>
              </w:r>
            </w:hyperlink>
          </w:p>
        </w:tc>
      </w:tr>
      <w:tr w:rsidR="004A7D9B" w:rsidRPr="004A7D9B" w:rsidTr="004A7D9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" w:name="100037"/>
            <w:bookmarkEnd w:id="39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12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" w:name="100038"/>
            <w:bookmarkEnd w:id="40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Вакцинация против кори, краснухи, эпидемического паротита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" w:name="100039"/>
            <w:bookmarkEnd w:id="41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Четвертая вакцинация против вирусного гепатита B (группы риска) </w:t>
            </w:r>
            <w:hyperlink r:id="rId23" w:anchor="100069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&lt;3&gt;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" w:name="100040"/>
            <w:bookmarkEnd w:id="42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15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" w:name="100041"/>
            <w:bookmarkEnd w:id="43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Ревакцинация против пневмококковой инфекции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" w:name="100042"/>
            <w:bookmarkStart w:id="45" w:name="000009"/>
            <w:bookmarkEnd w:id="44"/>
            <w:bookmarkEnd w:id="45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18 месяцев </w:t>
            </w:r>
            <w:hyperlink r:id="rId24" w:anchor="000012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&lt;6.1&gt;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" w:name="100043"/>
            <w:bookmarkEnd w:id="46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 ревакцинация против полиомиелита </w:t>
            </w:r>
            <w:hyperlink r:id="rId25" w:anchor="100072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&lt;6&gt;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" w:name="100044"/>
            <w:bookmarkEnd w:id="47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Первая ревакцинация против дифтерии, коклюша, столбняка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" w:name="100045"/>
            <w:bookmarkEnd w:id="48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Ревакцинация против гемофильной инфекции (группы риска)</w:t>
            </w:r>
          </w:p>
        </w:tc>
      </w:tr>
      <w:tr w:rsidR="004A7D9B" w:rsidRPr="004A7D9B" w:rsidTr="004A7D9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" w:name="100046"/>
            <w:bookmarkEnd w:id="49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20 месяцев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" w:name="100047"/>
            <w:bookmarkEnd w:id="50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 ревакцинация против полиомиелита </w:t>
            </w:r>
            <w:hyperlink r:id="rId26" w:anchor="100072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&lt;6&gt;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" w:name="100048"/>
            <w:bookmarkEnd w:id="51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6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" w:name="100049"/>
            <w:bookmarkEnd w:id="52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Ревакцинация против кори, краснухи, эпидемического </w:t>
            </w: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паротита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" w:name="100050"/>
            <w:bookmarkEnd w:id="53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Дети 6 - 7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" w:name="100051"/>
            <w:bookmarkEnd w:id="54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Вторая ревакцинация против дифтерии, столбняка </w:t>
            </w:r>
            <w:hyperlink r:id="rId27" w:anchor="100073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&lt;7&gt;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" w:name="100052"/>
            <w:bookmarkEnd w:id="55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Ревакцинация против туберкулеза </w:t>
            </w:r>
            <w:hyperlink r:id="rId28" w:anchor="100074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&lt;8&gt;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" w:name="100053"/>
            <w:bookmarkEnd w:id="56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14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" w:name="100054"/>
            <w:bookmarkEnd w:id="57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Третья ревакцинация против дифтерии, столбняка </w:t>
            </w:r>
            <w:hyperlink r:id="rId29" w:anchor="100073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&lt;7&gt;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" w:name="100055"/>
            <w:bookmarkEnd w:id="58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Третья ревакцинация против полиомиелита </w:t>
            </w:r>
            <w:hyperlink r:id="rId30" w:anchor="100072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&lt;6&gt;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" w:name="100056"/>
            <w:bookmarkEnd w:id="59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Взрослые от 18 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" w:name="100057"/>
            <w:bookmarkEnd w:id="60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" w:name="100058"/>
            <w:bookmarkEnd w:id="61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от 1 года до 18 лет, взрослые от 18 до 55 лет, не привитые ранее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" w:name="100059"/>
            <w:bookmarkEnd w:id="62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Вакцинация против вирусного гепатита B </w:t>
            </w:r>
            <w:hyperlink r:id="rId31" w:anchor="100075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&lt;9&gt;</w:t>
              </w:r>
            </w:hyperlink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" w:name="100061"/>
            <w:bookmarkStart w:id="64" w:name="100060"/>
            <w:bookmarkStart w:id="65" w:name="000001"/>
            <w:bookmarkEnd w:id="63"/>
            <w:bookmarkEnd w:id="64"/>
            <w:bookmarkEnd w:id="65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от 1 года до 18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" w:name="000002"/>
            <w:bookmarkEnd w:id="66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Вакцинация против краснухи, ревакцинация против краснухи</w:t>
            </w:r>
          </w:p>
        </w:tc>
      </w:tr>
      <w:tr w:rsidR="004A7D9B" w:rsidRPr="004A7D9B" w:rsidTr="004A7D9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" w:name="100063"/>
            <w:bookmarkStart w:id="68" w:name="100062"/>
            <w:bookmarkStart w:id="69" w:name="000003"/>
            <w:bookmarkEnd w:id="67"/>
            <w:bookmarkEnd w:id="68"/>
            <w:bookmarkEnd w:id="69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от 1 года до 18 лет (включительно) и взрослые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" w:name="000004"/>
            <w:bookmarkEnd w:id="70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Вакцинация против кори, ревакцинация против кори </w:t>
            </w:r>
            <w:hyperlink r:id="rId32" w:anchor="100076" w:history="1">
              <w:r w:rsidRPr="004A7D9B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&lt;10&gt;</w:t>
              </w:r>
            </w:hyperlink>
          </w:p>
        </w:tc>
      </w:tr>
      <w:tr w:rsidR="004A7D9B" w:rsidRPr="004A7D9B" w:rsidTr="004A7D9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" w:name="100064"/>
            <w:bookmarkEnd w:id="71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 лица, подлежащие призыву на военную службу;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лица с хроническими заболеваниями, в том числе с заболеваниями легких, </w:t>
            </w:r>
            <w:proofErr w:type="gram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заболеваниями, метаболическими нарушениями и ожирением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" w:name="100065"/>
            <w:bookmarkEnd w:id="72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Вакцинация против гриппа</w:t>
            </w:r>
          </w:p>
        </w:tc>
      </w:tr>
    </w:tbl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66"/>
      <w:bookmarkEnd w:id="73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67"/>
      <w:bookmarkEnd w:id="74"/>
      <w:proofErr w:type="gram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&lt;1&gt; Первая, вторая и третья вакцинации проводятся по схеме 0-1-6 (1 доза - в момент начала вакцинации, 2 доза - через месяц после 1 прививки, 3 доза - через 6 месяцев от начала вакцинации), за исключением детей, относящихся к группам риска, вакцинация против вирусного гепатита B которых </w:t>
      </w: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проводится по схеме 0-1-2-12 (1 доза - в момент начала вакцинации, 2 доза - через месяц после 1</w:t>
      </w:r>
      <w:proofErr w:type="gram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прививки, 2 доза - через 2 месяца от начала вакцинации, 3 доза - через 12 месяцев от начала вакцинации).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68"/>
      <w:bookmarkEnd w:id="75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&lt;2&gt; Вакцинация проводится вакциной для профилактики туберкулеза для щадящей первичной вакцинации (БЦЖ-М); в субъектах Российской Федерации с показателями заболеваемости, превышающими 80 на 100 тыс. населения, а также при наличии в окружении новорожденного больных туберкулезом - вакциной для профилактики туберкулеза (БЦЖ).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69"/>
      <w:bookmarkEnd w:id="76"/>
      <w:proofErr w:type="gram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&lt;3&gt; Вакцинация проводится детям, относящимся к группам риска (родившимся от матерей - носителей </w:t>
      </w:r>
      <w:proofErr w:type="spell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HBsAg</w:t>
      </w:r>
      <w:proofErr w:type="spell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больных вирусным гепатитом B или перенесших вирусный гепатит B в третьем триместре беременности, не имеющих результатов обследования на маркеры гепатита B, потребляющих наркотические средства или психотропные вещества, из семей, в которых есть носитель </w:t>
      </w:r>
      <w:proofErr w:type="spell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HBsAg</w:t>
      </w:r>
      <w:proofErr w:type="spell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или больной острым вирусным гепатитом B и хроническими вирусными гепатитами).</w:t>
      </w:r>
      <w:proofErr w:type="gramEnd"/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0"/>
      <w:bookmarkEnd w:id="77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&lt;4&gt; Первая и вторая вакцинации проводятся вакциной для профилактики полиомиелита (инактивированной).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000010"/>
      <w:bookmarkStart w:id="79" w:name="100071"/>
      <w:bookmarkEnd w:id="78"/>
      <w:bookmarkEnd w:id="79"/>
      <w:proofErr w:type="gram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&lt;5&gt; Вакцинация проводится детям, относящимся к группам риска (с </w:t>
      </w:r>
      <w:proofErr w:type="spell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иммунодефицитными</w:t>
      </w:r>
      <w:proofErr w:type="spell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иммуносупрессивную</w:t>
      </w:r>
      <w:proofErr w:type="spell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терапию; детям, рожденным от матерей с ВИЧ-инфекцией; детям с ВИЧ-инфекцией; недоношенным и маловесным детям; детям, находящимся в домах ребенка).</w:t>
      </w:r>
      <w:proofErr w:type="gramEnd"/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000011"/>
      <w:bookmarkStart w:id="81" w:name="100072"/>
      <w:bookmarkEnd w:id="80"/>
      <w:bookmarkEnd w:id="81"/>
      <w:proofErr w:type="gram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&lt;6&gt; Третья вакцинация и последующие ревакцинации против полиомиелита проводятся детям вакциной для профилактики полиомиелита (живой); детям, относящимся к группам риска (с </w:t>
      </w:r>
      <w:proofErr w:type="spell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иммунодефицитными</w:t>
      </w:r>
      <w:proofErr w:type="spell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состояниями или анатомическими дефектами, приводящими к резко повышенной опасности заболевания гемофильной инфекцией; с аномалиями развития кишечника; с онкологическими заболеваниями и/или длительно получающим </w:t>
      </w:r>
      <w:proofErr w:type="spell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иммуносупрессивную</w:t>
      </w:r>
      <w:proofErr w:type="spell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терапию; детям, рожденным от матерей с ВИЧ-инфекцией;</w:t>
      </w:r>
      <w:proofErr w:type="gram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детям с ВИЧ-инфекцией; недоношенным и маловесным детям; детям, находящимся в домах ребенка) - вакциной для профилактики полиомиелита (инактивированной).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000012"/>
      <w:bookmarkEnd w:id="82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&lt;6.1&gt; Вакцинация и ревакцинация детям, относящимся к группам риска, может осуществляться иммунобиологическими лекарственными препаратами для иммунопрофилактики инфекционных болезней, содержащими комбинации вакцин, предназначенных для применения в соответствующие возрастные периоды.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73"/>
      <w:bookmarkEnd w:id="83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&lt;7&gt; Вторая ревакцинация проводится анатоксинами с уменьшенным содержанием антигенов.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74"/>
      <w:bookmarkEnd w:id="84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&lt;8&gt; Ревакцинация проводится вакциной для профилактики туберкулеза (БЦЖ).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75"/>
      <w:bookmarkEnd w:id="85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&lt;9&gt; Вакцинация проводится детям и взрослым, ранее не привитым против вирусного гепатита B, по схеме 0-1-6 (1 доза - в момент начала вакцинации, 2 доза - через месяц после 1 прививки, 3 доза - через 6 месяцев от начала вакцинации).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76"/>
      <w:bookmarkEnd w:id="86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&lt;10&gt; Интервал между первой и второй прививками должен составлять не менее 3 месяцев.</w:t>
      </w:r>
    </w:p>
    <w:p w:rsidR="004A7D9B" w:rsidRPr="004A7D9B" w:rsidRDefault="004A7D9B" w:rsidP="004A7D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77"/>
      <w:bookmarkEnd w:id="87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4A7D9B" w:rsidRPr="004A7D9B" w:rsidRDefault="004A7D9B" w:rsidP="004A7D9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проведения гражданам профилактических прививок в рамках</w:t>
      </w:r>
    </w:p>
    <w:p w:rsidR="004A7D9B" w:rsidRPr="004A7D9B" w:rsidRDefault="004A7D9B" w:rsidP="004A7D9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национального календаря профилактических прививок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78"/>
      <w:bookmarkEnd w:id="88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Профилактические прививки в рамках национального календаря профилактических прививок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79"/>
      <w:bookmarkEnd w:id="89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2. Вакцинацию осуществляют медицинские работники, прошедшие </w:t>
      </w:r>
      <w:proofErr w:type="gram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 вопросам</w:t>
      </w:r>
      <w:proofErr w:type="gram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80"/>
      <w:bookmarkEnd w:id="90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Вакцинация и ревакцинация в рамках национального календаря профилактических прививок проводятся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000013"/>
      <w:bookmarkEnd w:id="91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случаях, предусмотренных национальным календарем профилактических прививок, допускается проведение вакцинации и ревакцинации иммунобиологическими лекарственными препаратами для иммунопрофилактики инфекционных болезней, содержащими комбинации вакцин.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81"/>
      <w:bookmarkEnd w:id="92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соответствии с требованиями статьи 20 Федерального закона от 21 ноября 2011 г. N 323-ФЗ "Об основах охраны здоровья граждан в Российской Федерации</w:t>
      </w:r>
      <w:proofErr w:type="gram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 &lt;1&gt;.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82"/>
      <w:bookmarkEnd w:id="93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83"/>
      <w:bookmarkEnd w:id="94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Собрание законодательства Российской Федерации, 2012, N 26, ст. 3442; N 26, ст. 3446; 2013, N 27, ст. 3459; N 27, ст. 3477; N 30, ст. 4038; N 39, ст. 4883; N 48, ст. 6165; N 52, ст. 6951.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84"/>
      <w:bookmarkEnd w:id="95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Все лица, которым должны проводиться профилактические прививки, предварительно подвергаются осмотру врачом (фельдшером) &lt;1&gt;.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85"/>
      <w:bookmarkEnd w:id="96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86"/>
      <w:bookmarkEnd w:id="97"/>
      <w:proofErr w:type="gram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</w:t>
      </w:r>
      <w:proofErr w:type="gram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87"/>
      <w:bookmarkEnd w:id="98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При изменении сроков вакцинации ее проводят по предусмотренным национальным календарем профилактических прививок схемам и в соответствии с инструкциями по применению иммунобиологических лекарственных препаратов для иммунопрофилактики инфекционных болезней. Допускается введение вакцин (кроме вакцин для профилактики туберкулеза), применяемых в рамках национального календаря профилактических прививок, в один день разными шприцами в разные участки тела.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88"/>
      <w:bookmarkEnd w:id="99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7. Вакцинация детей, которым иммунопрофилактика против пневмококковой инфекции не была начата </w:t>
      </w:r>
      <w:proofErr w:type="gram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первые</w:t>
      </w:r>
      <w:proofErr w:type="gram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6 месяцев жизни, проводится двукратно с интервалом между прививками не менее 2 месяцев.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089"/>
      <w:bookmarkEnd w:id="100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Вакцинация детей, рожденных от матерей с ВИЧ-инфекцией, осуществляется в рамках национального календаря профилактических прививок в соответствии с инструкциями по применению иммунобиологических лекарственных препаратов для иммунопрофилактики инфекционных болезней. При вакцинации таких детей учитываются: ВИЧ-статус ребенка, вид вакцины, показатели иммунного статуса, возраст ребенка, сопутствующие заболевания.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090"/>
      <w:bookmarkEnd w:id="101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9. Ревакцинация детей против туберкулеза, рожденных от матерей с ВИЧ-инфекцией и получавших </w:t>
      </w:r>
      <w:proofErr w:type="gram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трехэтапную</w:t>
      </w:r>
      <w:proofErr w:type="gram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химиопрофилактику</w:t>
      </w:r>
      <w:proofErr w:type="spell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передачи ВИЧ от матери ребенку (во время беременности, родов и в </w:t>
      </w: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периоде новорожденности), проводится в родильном доме вакцинами для профилактики туберкулеза (для щадящей первичной вакцинации). У детей с ВИЧ-инфекцией, а также при обнаружении у детей нуклеиновых кислот ВИЧ молекулярными методами ревакцинация против туберкулеза не проводится.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091"/>
      <w:bookmarkEnd w:id="102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Вакцинация живыми вакцинами в рамках национального календаря профилактических прививок (за исключением вакцин для профилактики туберкулеза) проводится детям с ВИЧ-инфекцией с 1-й и 2-й иммунными категориями (отсутствие иммунодефицита или умеренный иммунодефицит).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092"/>
      <w:bookmarkEnd w:id="103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При исключении диагноза ВИЧ-инфекции детям, рожденным от матерей с ВИЧ-инфекцией, проводят вакцинацию живыми вакцинами без предварительного иммунологического обследования.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093"/>
      <w:bookmarkEnd w:id="104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Анатоксины, убитые и рекомбинантные вакцины в рамках национального календаря профилактических прививок вводят всем детям, рожденным от матерей с ВИЧ-инфекцией. Детям с ВИЧ-инфекцией указанные иммунобиологические лекарственные препараты для иммунопрофилактики инфекционных болезней вводятся при отсутствии выраженного и тяжелого иммунодефицита.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094"/>
      <w:bookmarkEnd w:id="105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При проведении 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095"/>
      <w:bookmarkEnd w:id="106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При проведении вакцинации против гепатита B детей первого года жизни, против гриппа детей с 6-месячного возраста, обучающихся в общеобразовательных организациях, беременных женщин используются вакцины, не содержащие консервантов.</w:t>
      </w:r>
    </w:p>
    <w:p w:rsidR="004A7D9B" w:rsidRPr="004A7D9B" w:rsidRDefault="004A7D9B" w:rsidP="004A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D9B" w:rsidRPr="004A7D9B" w:rsidRDefault="004A7D9B" w:rsidP="004A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D9B" w:rsidRPr="004A7D9B" w:rsidRDefault="004A7D9B" w:rsidP="004A7D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A7D9B" w:rsidRPr="004A7D9B" w:rsidRDefault="004A7D9B" w:rsidP="004A7D9B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096"/>
      <w:bookmarkEnd w:id="107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2</w:t>
      </w:r>
    </w:p>
    <w:p w:rsidR="004A7D9B" w:rsidRPr="004A7D9B" w:rsidRDefault="004A7D9B" w:rsidP="004A7D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приказу Министерства здравоохранения</w:t>
      </w:r>
    </w:p>
    <w:p w:rsidR="004A7D9B" w:rsidRPr="004A7D9B" w:rsidRDefault="004A7D9B" w:rsidP="004A7D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4A7D9B" w:rsidRPr="004A7D9B" w:rsidRDefault="004A7D9B" w:rsidP="004A7D9B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21 марта 2014 г. N 125н</w:t>
      </w:r>
    </w:p>
    <w:p w:rsidR="004A7D9B" w:rsidRPr="004A7D9B" w:rsidRDefault="004A7D9B" w:rsidP="004A7D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097"/>
      <w:bookmarkEnd w:id="108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КАЛЕНДАРЬ</w:t>
      </w:r>
    </w:p>
    <w:p w:rsidR="004A7D9B" w:rsidRPr="004A7D9B" w:rsidRDefault="004A7D9B" w:rsidP="004A7D9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ПРОФИЛАКТИЧЕСКИХ ПРИВИВОК ПО ЭПИДЕМИЧЕСКИМ ПОКАЗАНИЯМ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7927"/>
      </w:tblGrid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" w:name="100098"/>
            <w:bookmarkEnd w:id="109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профилактической прививки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" w:name="100099"/>
            <w:bookmarkEnd w:id="110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Категории граждан, подлежащих обязательной вакцинации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" w:name="100100"/>
            <w:bookmarkEnd w:id="111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туляремии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" w:name="100101"/>
            <w:bookmarkEnd w:id="112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proofErr w:type="gramEnd"/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дезинсекционные;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работающие с живыми культурами возбудителя туляремии.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" w:name="100102"/>
            <w:bookmarkEnd w:id="113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чумы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" w:name="100103"/>
            <w:bookmarkEnd w:id="114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проживающие на энзоотичных по чуме территориях.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работающие с живыми культурами возбудителя чумы.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" w:name="100104"/>
            <w:bookmarkEnd w:id="115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бруцеллеза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" w:name="100105"/>
            <w:bookmarkEnd w:id="116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 очагах козье-овечьего типа бруцеллеза лица, выполняющие следующие </w:t>
            </w: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работы: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по убою скота, больного бруцеллезом, заготовке и переработке полученных от него мяса и мясопродуктов.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Животноводы, ветеринарные работники, зоотехники в хозяйствах, энзоотичных по бруцеллезу.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работающие с живыми культурами возбудителя бруцеллеза.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" w:name="100106"/>
            <w:bookmarkEnd w:id="117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Против сибирской язвы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" w:name="100107"/>
            <w:bookmarkEnd w:id="118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выполняющие следующие работы: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зооветработники</w:t>
            </w:r>
            <w:proofErr w:type="spellEnd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другие лица, профессионально занятые </w:t>
            </w:r>
            <w:proofErr w:type="spell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предубойным</w:t>
            </w:r>
            <w:proofErr w:type="spellEnd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содержанием скота, а также убоем, снятием шкур и разделкой туш;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сбор, хранение, транспортировка и первичная обработка сырья животного происхождения;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  <w:proofErr w:type="gramEnd"/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" w:name="100108"/>
            <w:bookmarkEnd w:id="119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бешенства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" w:name="100109"/>
            <w:bookmarkEnd w:id="120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профилактической целью вакцинируют лиц, имеющих высокий риск заражения бешенством: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работающие с "уличным" вирусом бешенства;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ветеринарные работники; егеря, охотники, лесники;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выполняющие работы по отлову и содержанию животных.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" w:name="100110"/>
            <w:bookmarkEnd w:id="121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лептоспироза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" w:name="100111"/>
            <w:bookmarkEnd w:id="122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выполняющие следующие работы: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по отлову и содержанию безнадзорных животных.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работающие с живыми культурами возбудителя лептоспироза.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" w:name="100112"/>
            <w:bookmarkEnd w:id="123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клещевого вирусного энцефалита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" w:name="100113"/>
            <w:bookmarkEnd w:id="124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проживающие на эндемичных по клещевому вирусному энцефалиту территориях;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сельскохозяйственные, гидромелиоративные, строительные, по выемке и </w:t>
            </w: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перемещению грунта, заготовительные, промысловые, геологические, изыскательские, экспедиционные, </w:t>
            </w:r>
            <w:proofErr w:type="spell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дезинсекционные;</w:t>
            </w:r>
            <w:proofErr w:type="gramEnd"/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по лесозаготовке, расчистке и благоустройству леса, зон оздоровления и отдыха населения.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работающие с живыми культурами возбудителя клещевого энцефалита.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" w:name="100114"/>
            <w:bookmarkEnd w:id="125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Против лихорадки 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" w:name="100115"/>
            <w:bookmarkEnd w:id="126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работающие с живыми культурами возбудителей лихорадки Ку.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" w:name="100116"/>
            <w:bookmarkEnd w:id="127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желтой лихорадки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" w:name="100117"/>
            <w:bookmarkEnd w:id="128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выезжающие за пределы Российской Федерации в энзоотичные по желтой лихорадке страны (регионы).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работающие с живыми культурами возбудителя желтой лихорадки.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" w:name="100118"/>
            <w:bookmarkEnd w:id="129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холеры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" w:name="100119"/>
            <w:bookmarkEnd w:id="130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выезжающие в неблагополучные по холере страны (регионы).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" w:name="100120"/>
            <w:bookmarkEnd w:id="131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брюшного тифа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" w:name="100121"/>
            <w:bookmarkEnd w:id="132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работающие с живыми культурами возбудителей брюшного тифа.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Население, проживающее на территориях с хроническими водными эпидемиями брюшного тифа.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Лица, выезжающие в </w:t>
            </w:r>
            <w:proofErr w:type="spell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гиперэндемичные</w:t>
            </w:r>
            <w:proofErr w:type="spellEnd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брюшному тифу страны (регионы).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Контактные лица в очагах брюшного тифа по эпидемическим показаниям.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эпидемическим показаниям прививки проводят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" w:name="100122"/>
            <w:bookmarkEnd w:id="133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вирусного гепатита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" w:name="100123"/>
            <w:bookmarkEnd w:id="134"/>
            <w:proofErr w:type="gram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Лица, проживающие в регионах, неблагополучных по заболеваемости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</w:t>
            </w: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обслуживающие водопроводные и канализационные сооружения, оборудование и сети).</w:t>
            </w:r>
            <w:proofErr w:type="gramEnd"/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выезжающие в неблагополучные страны (регионы), где регистрируется вспышечная заболеваемость гепатитом A. Контактные лица в очагах гепатита A.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" w:name="100124"/>
            <w:bookmarkEnd w:id="135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Против </w:t>
            </w:r>
            <w:proofErr w:type="spell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шигеллезов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" w:name="100125"/>
            <w:bookmarkEnd w:id="136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Работники медицинских организаций (их структурных подразделений) инфекционного профиля.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занятые в сфере общественного питания и коммунального благоустройства.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эпидемическим показаниям прививки проводятся при угрозе возникновения эпидемии или вспышки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шигеллезами</w:t>
            </w:r>
            <w:proofErr w:type="spellEnd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" w:name="100126"/>
            <w:bookmarkEnd w:id="137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менингококковой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" w:name="100127"/>
            <w:bookmarkEnd w:id="138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Дети и взрослые в очагах менингококковой инфекции, вызванной менингококками </w:t>
            </w:r>
            <w:proofErr w:type="spell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A или C.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Вакцинация проводится в эндемичных регионах, а также в случае эпидемии, вызванной менингококками </w:t>
            </w:r>
            <w:proofErr w:type="spell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серогрупп</w:t>
            </w:r>
            <w:proofErr w:type="spellEnd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A или C.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Лица, подлежащие призыву на военную службу.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" w:name="100128"/>
            <w:bookmarkEnd w:id="139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кори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" w:name="100129"/>
            <w:bookmarkEnd w:id="140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 или однократно привитые.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" w:name="100130"/>
            <w:bookmarkEnd w:id="141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вирусного гепатита 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" w:name="100131"/>
            <w:bookmarkEnd w:id="142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" w:name="100132"/>
            <w:bookmarkEnd w:id="143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дифтерии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" w:name="100133"/>
            <w:bookmarkEnd w:id="144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" w:name="100134"/>
            <w:bookmarkEnd w:id="145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эпидемического паротита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" w:name="100135"/>
            <w:bookmarkEnd w:id="146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Контактные лица из очагов заболевания, не болевшие, не привитые и не имеющие сведений о профилактических прививках против эпидемического паротита.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" w:name="100136"/>
            <w:bookmarkEnd w:id="147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полиомиелита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" w:name="100137"/>
            <w:bookmarkEnd w:id="148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Контактные лица в очагах полиомиелита, в том числе вызванного </w:t>
            </w:r>
            <w:proofErr w:type="gram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диким</w:t>
            </w:r>
            <w:proofErr w:type="gramEnd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(или при подозрении на заболевание):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дети с 3 месяцев до 18 лет - однократно;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медицинские работники - однократно;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- дети, прибывшие из эндемичных (неблагополучных) по полиомиелиту стран (регионов), с 3 месяцев до 15 лет - однократно (при наличии </w:t>
            </w: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достоверных данных о предшествующих прививках) или трехкратно (при их отсутствии);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лица, контактировавшие с </w:t>
            </w:r>
            <w:proofErr w:type="gram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прибывшими</w:t>
            </w:r>
            <w:proofErr w:type="gramEnd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 эндемичных (неблагополучных) по полиомиелиту стран (регионов), с 3 месяцев жизни без ограничения возраста - однократно;</w:t>
            </w:r>
          </w:p>
          <w:p w:rsidR="004A7D9B" w:rsidRPr="004A7D9B" w:rsidRDefault="004A7D9B" w:rsidP="004A7D9B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лица, работающие с живым </w:t>
            </w:r>
            <w:proofErr w:type="spell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полиовирусом</w:t>
            </w:r>
            <w:proofErr w:type="spellEnd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 с материалами, инфицированными (потенциально инфицированными) диким вирусом полиомиелита, без ограничения возраста - однократно при приеме на работу.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" w:name="100138"/>
            <w:bookmarkEnd w:id="149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Против пневмококковой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" w:name="100139"/>
            <w:bookmarkStart w:id="151" w:name="000005"/>
            <w:bookmarkEnd w:id="150"/>
            <w:bookmarkEnd w:id="151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в возрасте от 2 до 5 лет, взрослые из групп риска, включая лиц, подлежащих призыву на военную службу, а также лиц старше 60 лет, страдающих хроническими заболеваниями легких.</w:t>
            </w:r>
          </w:p>
        </w:tc>
      </w:tr>
      <w:tr w:rsidR="004A7D9B" w:rsidRPr="004A7D9B" w:rsidTr="004A7D9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" w:name="100140"/>
            <w:bookmarkEnd w:id="152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Против </w:t>
            </w:r>
            <w:proofErr w:type="spell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ротавирусной</w:t>
            </w:r>
            <w:proofErr w:type="spellEnd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" w:name="100141"/>
            <w:bookmarkEnd w:id="153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Дети для активной вакцинации с целью профилактики заболеваний, вызываемых </w:t>
            </w:r>
            <w:proofErr w:type="spellStart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ротавирусами</w:t>
            </w:r>
            <w:proofErr w:type="spellEnd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" w:name="100142"/>
            <w:bookmarkEnd w:id="154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ветряной оспы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" w:name="100143"/>
            <w:bookmarkEnd w:id="155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4A7D9B" w:rsidRPr="004A7D9B" w:rsidTr="004A7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" w:name="100144"/>
            <w:bookmarkEnd w:id="156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 гемофильной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A7D9B" w:rsidRPr="004A7D9B" w:rsidRDefault="004A7D9B" w:rsidP="004A7D9B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" w:name="100145"/>
            <w:bookmarkEnd w:id="157"/>
            <w:r w:rsidRPr="004A7D9B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Дети, не привитые на первом году жизни против гемофильной инфекции.</w:t>
            </w:r>
          </w:p>
        </w:tc>
      </w:tr>
    </w:tbl>
    <w:p w:rsidR="004A7D9B" w:rsidRPr="004A7D9B" w:rsidRDefault="004A7D9B" w:rsidP="004A7D9B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146"/>
      <w:bookmarkEnd w:id="158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4A7D9B" w:rsidRPr="004A7D9B" w:rsidRDefault="004A7D9B" w:rsidP="004A7D9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проведения гражданам профилактических прививок в рамках</w:t>
      </w:r>
    </w:p>
    <w:p w:rsidR="004A7D9B" w:rsidRPr="004A7D9B" w:rsidRDefault="004A7D9B" w:rsidP="004A7D9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календаря профилактических прививок</w:t>
      </w:r>
    </w:p>
    <w:p w:rsidR="004A7D9B" w:rsidRPr="004A7D9B" w:rsidRDefault="004A7D9B" w:rsidP="004A7D9B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эпидемическим показаниям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147"/>
      <w:bookmarkEnd w:id="159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Профилактические прививки в рамках календаря профилактических прививок по эпидемическим показаниям проводятся гражданам в медицинских организациях при наличии у таких организаций лицензии, предусматривающей выполнение работ (услуг) по вакцинации (проведению профилактических прививок).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148"/>
      <w:bookmarkEnd w:id="160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Вакцинацию осуществляют медицинские работники, прошедшие </w:t>
      </w:r>
      <w:proofErr w:type="gram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 вопросам</w:t>
      </w:r>
      <w:proofErr w:type="gram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применения иммунобиологических лекарственных препаратов для иммунопрофилактики инфекционных болезней, организации проведения вакцинации, техники проведения вакцинации, а также по вопросам оказания медицинской помощи в экстренной или неотложной форме.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49"/>
      <w:bookmarkEnd w:id="161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Вакцинация и ревакцинация в рамках календаря профилактических прививок по эпидемическим показаниям проводится иммунобиологическими лекарственными препаратами для иммунопрофилактики инфекционных болезней, зарегистрированными в соответствии с законодательством Российской Федерации, согласно инструкциям по их применению.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150"/>
      <w:bookmarkEnd w:id="162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Перед проведением профилактической прививки лицу, подлежащему вакцинации, или его законному представителю разъясняется необходимость иммунопрофилактики инфекционных болезней, возможные поствакцинальные реакции и осложнения, а также последствия отказа от проведения профилактической прививки и оформляется информированное добровольное согласие на медицинское вмешательство в </w:t>
      </w:r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соответствии с требованиями статьи 20 Федерального закона от 21 ноября 2011 г. N 323-ФЗ "Об основах охраны здоровья граждан в Российской Федерации</w:t>
      </w:r>
      <w:proofErr w:type="gram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100151"/>
      <w:bookmarkEnd w:id="163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Все лица, которым должны проводиться профилактические прививки, предварительно подвергаются осмотру врачом (фельдшером) &lt;*&gt;.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100152"/>
      <w:bookmarkEnd w:id="164"/>
      <w:proofErr w:type="gram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  <w:proofErr w:type="gramEnd"/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153"/>
      <w:bookmarkEnd w:id="165"/>
      <w:proofErr w:type="gram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Приказ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</w:t>
      </w:r>
      <w:proofErr w:type="gram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номер 23971).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154"/>
      <w:bookmarkEnd w:id="166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Допускается введение инактивированных вакцин в один день разными шприцами в разные участки тела. Интервал между прививками против разных инфекций при раздельном их проведении (не в один день) должен составлять не менее 1 месяца.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000014"/>
      <w:bookmarkStart w:id="168" w:name="100155"/>
      <w:bookmarkEnd w:id="167"/>
      <w:bookmarkEnd w:id="168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7. Вакцинация против полиомиелита по эпидемическим показаниям проводится вакциной для профилактики полиомиелита (живой) и вакциной для профилактики полиомиелита (инактивированной). Показаниями для проведения вакцинации детей вакциной для профилактики полиомиелита (живой) по эпидемическим показаниям являются регистрация случая полиомиелита, вызванного диким </w:t>
      </w:r>
      <w:proofErr w:type="spell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полиовирусом</w:t>
      </w:r>
      <w:proofErr w:type="spell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выделение дикого </w:t>
      </w:r>
      <w:proofErr w:type="spell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полиовируса</w:t>
      </w:r>
      <w:proofErr w:type="spell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биологическом материале человека или из объектов окружающей среды. Показаниями для проведения вакцинации детей вакциной для профилактики полиомиелита (инактивированной) по эпидемическим показаниям являются регистрация случая полиомиелита, вызванного </w:t>
      </w:r>
      <w:proofErr w:type="spell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вакцинородственным</w:t>
      </w:r>
      <w:proofErr w:type="spell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штаммом </w:t>
      </w:r>
      <w:proofErr w:type="spell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полиовируса</w:t>
      </w:r>
      <w:proofErr w:type="spell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выделение </w:t>
      </w:r>
      <w:proofErr w:type="spell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вакцинородственного</w:t>
      </w:r>
      <w:proofErr w:type="spell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штамма </w:t>
      </w:r>
      <w:proofErr w:type="spellStart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полиовируса</w:t>
      </w:r>
      <w:proofErr w:type="spellEnd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биологическом материале человека или из объектов окружающей среды.</w:t>
      </w:r>
    </w:p>
    <w:p w:rsidR="004A7D9B" w:rsidRPr="004A7D9B" w:rsidRDefault="004A7D9B" w:rsidP="004A7D9B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000015"/>
      <w:bookmarkEnd w:id="169"/>
      <w:r w:rsidRPr="004A7D9B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Вакцинация против полиомиелита по эпидемическим показаниям проводится в соответствии с постановлением главного государственного санитарного врача субъекта Российской Федерации, которым определяется возраст детей, подлежащих вакцинации, сроки, порядок и кратность ее проведения.</w:t>
      </w:r>
    </w:p>
    <w:p w:rsidR="00F407E5" w:rsidRDefault="00F407E5"/>
    <w:sectPr w:rsidR="00F407E5" w:rsidSect="004A7D9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9B"/>
    <w:rsid w:val="004A7D9B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7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D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4A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A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7D9B"/>
    <w:rPr>
      <w:color w:val="0000FF"/>
      <w:u w:val="single"/>
    </w:rPr>
  </w:style>
  <w:style w:type="paragraph" w:customStyle="1" w:styleId="pright">
    <w:name w:val="pright"/>
    <w:basedOn w:val="a"/>
    <w:rsid w:val="004A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A7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D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4A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A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7D9B"/>
    <w:rPr>
      <w:color w:val="0000FF"/>
      <w:u w:val="single"/>
    </w:rPr>
  </w:style>
  <w:style w:type="paragraph" w:customStyle="1" w:styleId="pright">
    <w:name w:val="pright"/>
    <w:basedOn w:val="a"/>
    <w:rsid w:val="004A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zdrava-rossii-ot-21032014-n-125n/" TargetMode="External"/><Relationship Id="rId13" Type="http://schemas.openxmlformats.org/officeDocument/2006/relationships/hyperlink" Target="http://legalacts.ru/doc/prikaz-minzdrava-rossii-ot-21032014-n-125n/" TargetMode="External"/><Relationship Id="rId18" Type="http://schemas.openxmlformats.org/officeDocument/2006/relationships/hyperlink" Target="http://legalacts.ru/doc/prikaz-minzdrava-rossii-ot-21032014-n-125n/" TargetMode="External"/><Relationship Id="rId26" Type="http://schemas.openxmlformats.org/officeDocument/2006/relationships/hyperlink" Target="http://legalacts.ru/doc/prikaz-minzdrava-rossii-ot-21032014-n-125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alacts.ru/doc/prikaz-minzdrava-rossii-ot-21032014-n-125n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legalacts.ru/doc/prikaz-minzdrava-rossii-ot-21032014-n-125n/" TargetMode="External"/><Relationship Id="rId12" Type="http://schemas.openxmlformats.org/officeDocument/2006/relationships/hyperlink" Target="http://legalacts.ru/doc/prikaz-minzdrava-rossii-ot-21032014-n-125n/" TargetMode="External"/><Relationship Id="rId17" Type="http://schemas.openxmlformats.org/officeDocument/2006/relationships/hyperlink" Target="http://legalacts.ru/doc/prikaz-minzdrava-rossii-ot-21032014-n-125n/" TargetMode="External"/><Relationship Id="rId25" Type="http://schemas.openxmlformats.org/officeDocument/2006/relationships/hyperlink" Target="http://legalacts.ru/doc/prikaz-minzdrava-rossii-ot-21032014-n-125n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prikaz-minzdrava-rossii-ot-21032014-n-125n/" TargetMode="External"/><Relationship Id="rId20" Type="http://schemas.openxmlformats.org/officeDocument/2006/relationships/hyperlink" Target="http://legalacts.ru/doc/prikaz-minzdrava-rossii-ot-21032014-n-125n/" TargetMode="External"/><Relationship Id="rId29" Type="http://schemas.openxmlformats.org/officeDocument/2006/relationships/hyperlink" Target="http://legalacts.ru/doc/prikaz-minzdrava-rossii-ot-21032014-n-125n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17091998-n-157-fz-ob/" TargetMode="External"/><Relationship Id="rId11" Type="http://schemas.openxmlformats.org/officeDocument/2006/relationships/hyperlink" Target="http://legalacts.ru/doc/prikaz-minzdrava-rossii-ot-21032014-n-125n/" TargetMode="External"/><Relationship Id="rId24" Type="http://schemas.openxmlformats.org/officeDocument/2006/relationships/hyperlink" Target="http://legalacts.ru/doc/prikaz-minzdrava-rossii-ot-21032014-n-125n/" TargetMode="External"/><Relationship Id="rId32" Type="http://schemas.openxmlformats.org/officeDocument/2006/relationships/hyperlink" Target="http://legalacts.ru/doc/prikaz-minzdrava-rossii-ot-21032014-n-125n/" TargetMode="External"/><Relationship Id="rId5" Type="http://schemas.openxmlformats.org/officeDocument/2006/relationships/hyperlink" Target="http://legalacts.ru/doc/federalnyi-zakon-ot-17091998-n-157-fz-ob/" TargetMode="External"/><Relationship Id="rId15" Type="http://schemas.openxmlformats.org/officeDocument/2006/relationships/hyperlink" Target="http://legalacts.ru/doc/prikaz-minzdrava-rossii-ot-21032014-n-125n/" TargetMode="External"/><Relationship Id="rId23" Type="http://schemas.openxmlformats.org/officeDocument/2006/relationships/hyperlink" Target="http://legalacts.ru/doc/prikaz-minzdrava-rossii-ot-21032014-n-125n/" TargetMode="External"/><Relationship Id="rId28" Type="http://schemas.openxmlformats.org/officeDocument/2006/relationships/hyperlink" Target="http://legalacts.ru/doc/prikaz-minzdrava-rossii-ot-21032014-n-125n/" TargetMode="External"/><Relationship Id="rId10" Type="http://schemas.openxmlformats.org/officeDocument/2006/relationships/hyperlink" Target="http://legalacts.ru/doc/prikaz-minzdrava-rossii-ot-21032014-n-125n/" TargetMode="External"/><Relationship Id="rId19" Type="http://schemas.openxmlformats.org/officeDocument/2006/relationships/hyperlink" Target="http://legalacts.ru/doc/prikaz-minzdrava-rossii-ot-21032014-n-125n/" TargetMode="External"/><Relationship Id="rId31" Type="http://schemas.openxmlformats.org/officeDocument/2006/relationships/hyperlink" Target="http://legalacts.ru/doc/prikaz-minzdrava-rossii-ot-21032014-n-125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rikaz-minzdrava-rossii-ot-21032014-n-125n/" TargetMode="External"/><Relationship Id="rId14" Type="http://schemas.openxmlformats.org/officeDocument/2006/relationships/hyperlink" Target="http://legalacts.ru/doc/prikaz-minzdrava-rossii-ot-21032014-n-125n/" TargetMode="External"/><Relationship Id="rId22" Type="http://schemas.openxmlformats.org/officeDocument/2006/relationships/hyperlink" Target="http://legalacts.ru/doc/prikaz-minzdrava-rossii-ot-21032014-n-125n/" TargetMode="External"/><Relationship Id="rId27" Type="http://schemas.openxmlformats.org/officeDocument/2006/relationships/hyperlink" Target="http://legalacts.ru/doc/prikaz-minzdrava-rossii-ot-21032014-n-125n/" TargetMode="External"/><Relationship Id="rId30" Type="http://schemas.openxmlformats.org/officeDocument/2006/relationships/hyperlink" Target="http://legalacts.ru/doc/prikaz-minzdrava-rossii-ot-21032014-n-125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4328</Words>
  <Characters>24675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2017-10-11T15:17:00Z</dcterms:created>
  <dcterms:modified xsi:type="dcterms:W3CDTF">2017-10-11T15:19:00Z</dcterms:modified>
</cp:coreProperties>
</file>